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swald SemiBold" w:cs="Oswald SemiBold" w:eastAsia="Oswald SemiBold" w:hAnsi="Oswald SemiBold"/>
          <w:smallCaps w:val="1"/>
          <w:color w:val="45818e"/>
          <w:sz w:val="32"/>
          <w:szCs w:val="32"/>
        </w:rPr>
      </w:pPr>
      <w:r w:rsidDel="00000000" w:rsidR="00000000" w:rsidRPr="00000000">
        <w:rPr>
          <w:rFonts w:ascii="Oswald SemiBold" w:cs="Oswald SemiBold" w:eastAsia="Oswald SemiBold" w:hAnsi="Oswald SemiBold"/>
          <w:smallCaps w:val="1"/>
          <w:color w:val="45818e"/>
          <w:sz w:val="32"/>
          <w:szCs w:val="32"/>
          <w:rtl w:val="0"/>
        </w:rPr>
        <w:t xml:space="preserve">MEAGAN SHEEHAN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+1-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708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674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2450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meaeasheehan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gmail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.com • linkedin.com/in/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measheehan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4" w:val="single"/>
        </w:pBdr>
        <w:spacing w:line="276" w:lineRule="auto"/>
        <w:jc w:val="center"/>
        <w:rPr>
          <w:rFonts w:ascii="Oswald SemiBold" w:cs="Oswald SemiBold" w:eastAsia="Oswald SemiBold" w:hAnsi="Oswald SemiBold"/>
          <w:color w:val="45818e"/>
          <w:sz w:val="22"/>
          <w:szCs w:val="22"/>
          <w:vertAlign w:val="baseline"/>
        </w:rPr>
      </w:pPr>
      <w:r w:rsidDel="00000000" w:rsidR="00000000" w:rsidRPr="00000000">
        <w:rPr>
          <w:rFonts w:ascii="Oswald SemiBold" w:cs="Oswald SemiBold" w:eastAsia="Oswald SemiBold" w:hAnsi="Oswald SemiBold"/>
          <w:color w:val="45818e"/>
          <w:sz w:val="22"/>
          <w:szCs w:val="22"/>
          <w:rtl w:val="0"/>
        </w:rPr>
        <w:t xml:space="preserve">PROFESSIONAL </w:t>
      </w:r>
      <w:r w:rsidDel="00000000" w:rsidR="00000000" w:rsidRPr="00000000">
        <w:rPr>
          <w:rFonts w:ascii="Oswald SemiBold" w:cs="Oswald SemiBold" w:eastAsia="Oswald SemiBold" w:hAnsi="Oswald SemiBold"/>
          <w:color w:val="45818e"/>
          <w:sz w:val="22"/>
          <w:szCs w:val="22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Montserrat" w:cs="Montserrat" w:eastAsia="Montserrat" w:hAnsi="Montserrat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Supervisor of Posting and Reconciliation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2023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Concentra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Reconciled documentation against budget requirements and ledgers.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Maintained team productivity by efficiently scanning, submitting and archiving records.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Assisted in improving mail intake, cutting processing time down by up to 50%.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Prepared internal and regulatory financial reports, balance sheets and income statements.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Supported financial director with special projects and additional job duties.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Established internal audit procedures to validate and improve accuracy of financial reporting.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Supervisor of Cash Applications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2021 –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Superior Ambulance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Mentored and directed team in accurately recording payments across patient, facility, and event accounts.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Provided expert guidance and oversight in the fulfillment and maintenance of corporate lockbox procedures.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Produced essential financial and regulatory reports to ensure compliance with legal mandates.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Assessed collection reports to ascertain collection status and outstanding balance metrics.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Devised and upheld a comprehensive posting log, fostering transparency within the cash application process.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Executed reconciliation reports, ensuring accuracy between posted and deposited cash in corporate bank accounts.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Formulated and sustained comprehensive manuals and schedules for the training of Cash Applications staff.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Spearheaded staff recruitment endeavors and assumed responsibility for the management of training initiatives.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Frontend Web Developer/Designer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2018 – May 2021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Midwest Archery Championship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Applied an adept command of HTML, CSS, and JavaScript to construct code for a range of multifaceted projects.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Acquired proficiency in new front-end programming languages and methodologies, demonstrating adaptability in task execution.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Thoroughly validated functionality of front-end code on various browsers and platforms to ensure seamless performance.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Engineered bespoke websites tailored to meet unique client requirements, demonstrating a client-centric approach.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Undertook both independent and guided updates to websites, establishing active participation in ongoing development.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Managed renewal of domain name registrations, ensuring uninterrupted online presence of associated websites.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Collaborated cross-functionally with multiple departments to jointly contribute to and enhance website content through effective editing processes.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4"/>
          <w:tab w:val="right" w:leader="none" w:pos="10065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Lockbox Processor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December 2019 – February 2021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PNC Financial Services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Sustained a high level of 10-key proficiency, consistently achieving a minimum of 10,000 keystrokes per hour.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Efficiently managed the processing of check and invoice data across numerous facilities.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Conducted precise reconciliation of keyed payment details, promptly identifying and reporting any abnormalities or inconsistencies.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Adhered rigorously to federal, state, and company policies, procedures, and regulatory mandates, ensuring strict compliance.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134"/>
          <w:tab w:val="right" w:leader="none" w:pos="10065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Senior Game Advisor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 2018 – May 2021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Gamestop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Engaged actively in leadership meetings, contributing to the formulation of new policies and procedures.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Collaborated in the facilitation of weekly and monthly inventory audits, thereby bolstering store precision and accountability.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Performed store opening and closing protocols with a focus on enhancing safety and security measures.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Strategically established promotional displays and signage, culminating in enhanced sales figures up to 30%. 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ind w:left="720" w:firstLine="0"/>
        <w:rPr>
          <w:rFonts w:ascii="Montserrat" w:cs="Montserrat" w:eastAsia="Montserrat" w:hAnsi="Montserrat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bottom w:color="000000" w:space="1" w:sz="4" w:val="single"/>
        </w:pBdr>
        <w:spacing w:line="276" w:lineRule="auto"/>
        <w:jc w:val="center"/>
        <w:rPr>
          <w:rFonts w:ascii="Oswald SemiBold" w:cs="Oswald SemiBold" w:eastAsia="Oswald SemiBold" w:hAnsi="Oswald SemiBold"/>
          <w:color w:val="45818e"/>
          <w:sz w:val="22"/>
          <w:szCs w:val="22"/>
          <w:vertAlign w:val="baseline"/>
        </w:rPr>
      </w:pPr>
      <w:r w:rsidDel="00000000" w:rsidR="00000000" w:rsidRPr="00000000">
        <w:rPr>
          <w:rFonts w:ascii="Oswald SemiBold" w:cs="Oswald SemiBold" w:eastAsia="Oswald SemiBold" w:hAnsi="Oswald SemiBold"/>
          <w:color w:val="45818e"/>
          <w:sz w:val="22"/>
          <w:szCs w:val="22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rFonts w:ascii="Montserrat" w:cs="Montserrat" w:eastAsia="Montserrat" w:hAnsi="Montserrat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134"/>
          <w:tab w:val="right" w:leader="none" w:pos="10080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Southern New Hampshire University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134"/>
          <w:tab w:val="right" w:leader="none" w:pos="10773"/>
        </w:tabs>
        <w:spacing w:line="276" w:lineRule="auto"/>
        <w:rPr>
          <w:rFonts w:ascii="Calibri" w:cs="Calibri" w:eastAsia="Calibri" w:hAnsi="Calibri"/>
          <w:b w:val="1"/>
          <w:color w:val="45818e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22"/>
          <w:szCs w:val="22"/>
          <w:rtl w:val="0"/>
        </w:rPr>
        <w:t xml:space="preserve">Bachelor of Arts (B.A.) in Graphic Design, Web Design Concentration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tabs>
          <w:tab w:val="left" w:leader="none" w:pos="1134"/>
          <w:tab w:val="right" w:leader="none" w:pos="10773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Awards: President’s List, Summa Cum Laude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134"/>
          <w:tab w:val="right" w:leader="none" w:pos="10773"/>
        </w:tabs>
        <w:spacing w:line="276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bottom w:color="000000" w:space="1" w:sz="4" w:val="single"/>
        </w:pBdr>
        <w:spacing w:line="276" w:lineRule="auto"/>
        <w:jc w:val="center"/>
        <w:rPr>
          <w:rFonts w:ascii="Oswald SemiBold" w:cs="Oswald SemiBold" w:eastAsia="Oswald SemiBold" w:hAnsi="Oswald SemiBold"/>
          <w:color w:val="45818e"/>
          <w:sz w:val="22"/>
          <w:szCs w:val="22"/>
        </w:rPr>
      </w:pPr>
      <w:r w:rsidDel="00000000" w:rsidR="00000000" w:rsidRPr="00000000">
        <w:rPr>
          <w:rFonts w:ascii="Oswald SemiBold" w:cs="Oswald SemiBold" w:eastAsia="Oswald SemiBold" w:hAnsi="Oswald SemiBold"/>
          <w:color w:val="45818e"/>
          <w:sz w:val="22"/>
          <w:szCs w:val="22"/>
          <w:rtl w:val="0"/>
        </w:rPr>
        <w:t xml:space="preserve">SKILLS &amp; OTHER</w:t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134"/>
          <w:tab w:val="right" w:leader="none" w:pos="10080"/>
        </w:tabs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Financial Reporting and Analysis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Monthly Reconciliations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Administrative Duties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Medical Billing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Auditing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Cross-Functional Team Collaboration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Billing Software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Microsoft Office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tabs>
          <w:tab w:val="left" w:leader="none" w:pos="1134"/>
          <w:tab w:val="right" w:leader="none" w:pos="10080"/>
        </w:tabs>
        <w:spacing w:line="276" w:lineRule="auto"/>
        <w:rPr>
          <w:rFonts w:ascii="Montserrat" w:cs="Montserrat" w:eastAsia="Montserrat" w:hAnsi="Montserrat"/>
          <w:sz w:val="20"/>
          <w:szCs w:val="20"/>
        </w:rPr>
        <w:sectPr>
          <w:pgSz w:h="15840" w:w="12240" w:orient="portrait"/>
          <w:pgMar w:bottom="431.99999999999994" w:top="431.99999999999994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1134"/>
          <w:tab w:val="right" w:leader="none" w:pos="10773"/>
        </w:tabs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 SemiBol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aramond" w:cs="Garamond" w:eastAsia="Garamond" w:hAnsi="Garamond"/>
      <w:b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ind w:left="2160" w:hanging="2160"/>
    </w:pPr>
    <w:rPr>
      <w:rFonts w:ascii="Garamond" w:cs="Garamond" w:eastAsia="Garamond" w:hAnsi="Garamond"/>
      <w:b w:val="1"/>
      <w:sz w:val="21"/>
      <w:szCs w:val="21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aramond" w:cs="Garamond" w:eastAsia="Garamond" w:hAnsi="Garamond"/>
      <w:b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ind w:left="2160" w:hanging="2160"/>
    </w:pPr>
    <w:rPr>
      <w:rFonts w:ascii="Garamond" w:cs="Garamond" w:eastAsia="Garamond" w:hAnsi="Garamond"/>
      <w:b w:val="1"/>
      <w:sz w:val="21"/>
      <w:szCs w:val="21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OswaldSemiBold-bold.ttf"/><Relationship Id="rId9" Type="http://schemas.openxmlformats.org/officeDocument/2006/relationships/font" Target="fonts/OswaldSemiBold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XF4/Ncr5MQKieJmPv5NrXcgXA==">CgMxLjA4AHIhMUJDeWpTRVdBa0RFWHhTakFZaDZSQzNHS1VHQjllcWpy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